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A3B68" w:rsidP="00440FAD" w:rsidRDefault="00440FAD" w14:paraId="2E0E6649" w14:textId="78E34906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Value and volume</w:t>
      </w:r>
      <w:r w:rsidRPr="006A3B68" w:rsidR="006A3B68">
        <w:rPr>
          <w:rFonts w:ascii="Cambria" w:hAnsi="Cambria"/>
          <w:b/>
          <w:bCs/>
          <w:sz w:val="22"/>
          <w:szCs w:val="22"/>
        </w:rPr>
        <w:t>: Why carbon credit policy must evolve with ambition</w:t>
      </w:r>
    </w:p>
    <w:p w:rsidRPr="001430FA" w:rsidR="006A3B68" w:rsidP="006A3B68" w:rsidRDefault="006A3B68" w14:paraId="4A07BE1C" w14:textId="3019A356">
      <w:pPr>
        <w:spacing w:after="120" w:line="240" w:lineRule="auto"/>
        <w:jc w:val="center"/>
        <w:rPr>
          <w:rFonts w:ascii="Cambria" w:hAnsi="Cambria"/>
          <w:sz w:val="22"/>
          <w:szCs w:val="22"/>
        </w:rPr>
      </w:pPr>
      <w:r w:rsidRPr="2BEFB955" w:rsidR="006A3B68">
        <w:rPr>
          <w:rFonts w:ascii="Cambria" w:hAnsi="Cambria"/>
          <w:sz w:val="22"/>
          <w:szCs w:val="22"/>
        </w:rPr>
        <w:t>Author: Emma Herd, Co-Lead, EY Net Zero Centre</w:t>
      </w:r>
      <w:r w:rsidRPr="2BEFB955" w:rsidR="2967C3EF">
        <w:rPr>
          <w:rFonts w:ascii="Cambria" w:hAnsi="Cambria"/>
          <w:sz w:val="22"/>
          <w:szCs w:val="22"/>
        </w:rPr>
        <w:t>, E</w:t>
      </w:r>
      <w:r w:rsidRPr="2BEFB955" w:rsidR="30EBAFA2">
        <w:rPr>
          <w:rFonts w:ascii="Cambria" w:hAnsi="Cambria"/>
          <w:sz w:val="22"/>
          <w:szCs w:val="22"/>
        </w:rPr>
        <w:t>Y</w:t>
      </w:r>
      <w:r w:rsidRPr="2BEFB955" w:rsidR="2967C3EF">
        <w:rPr>
          <w:rFonts w:ascii="Cambria" w:hAnsi="Cambria"/>
          <w:sz w:val="22"/>
          <w:szCs w:val="22"/>
        </w:rPr>
        <w:t xml:space="preserve"> Australia</w:t>
      </w:r>
    </w:p>
    <w:p w:rsidRPr="006A3B68" w:rsidR="006A3B68" w:rsidP="006A3B68" w:rsidRDefault="006A3B68" w14:paraId="5FCA0DEB" w14:textId="200BF546">
      <w:pPr>
        <w:jc w:val="both"/>
        <w:rPr>
          <w:rFonts w:ascii="Cambria" w:hAnsi="Cambria"/>
          <w:i/>
          <w:iCs/>
          <w:sz w:val="22"/>
          <w:szCs w:val="22"/>
        </w:rPr>
      </w:pPr>
      <w:r w:rsidRPr="006A3B68">
        <w:rPr>
          <w:rFonts w:ascii="Cambria" w:hAnsi="Cambria"/>
          <w:i/>
          <w:iCs/>
          <w:sz w:val="22"/>
          <w:szCs w:val="22"/>
        </w:rPr>
        <w:t>Removals-based carbon credits are an extremely valuable commodity in a low-carbon world.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 w:rsidRPr="006A3B68">
        <w:rPr>
          <w:rFonts w:ascii="Cambria" w:hAnsi="Cambria"/>
          <w:i/>
          <w:iCs/>
          <w:sz w:val="22"/>
          <w:szCs w:val="22"/>
        </w:rPr>
        <w:t xml:space="preserve">With the right policy settings, </w:t>
      </w:r>
      <w:r>
        <w:rPr>
          <w:rFonts w:ascii="Cambria" w:hAnsi="Cambria"/>
          <w:i/>
          <w:iCs/>
          <w:sz w:val="22"/>
          <w:szCs w:val="22"/>
        </w:rPr>
        <w:t>Australia</w:t>
      </w:r>
      <w:r w:rsidR="00440FAD">
        <w:rPr>
          <w:rFonts w:ascii="Cambria" w:hAnsi="Cambria"/>
          <w:i/>
          <w:iCs/>
          <w:sz w:val="22"/>
          <w:szCs w:val="22"/>
        </w:rPr>
        <w:t xml:space="preserve"> could generate carbon credits at scale, lifting </w:t>
      </w:r>
      <w:r w:rsidRPr="006A3B68">
        <w:rPr>
          <w:rFonts w:ascii="Cambria" w:hAnsi="Cambria"/>
          <w:i/>
          <w:iCs/>
          <w:sz w:val="22"/>
          <w:szCs w:val="22"/>
        </w:rPr>
        <w:t xml:space="preserve">national income by </w:t>
      </w:r>
      <w:r>
        <w:rPr>
          <w:rFonts w:ascii="Cambria" w:hAnsi="Cambria"/>
          <w:i/>
          <w:iCs/>
          <w:sz w:val="22"/>
          <w:szCs w:val="22"/>
        </w:rPr>
        <w:t>around</w:t>
      </w:r>
      <w:r w:rsidRPr="006A3B68">
        <w:rPr>
          <w:rFonts w:ascii="Cambria" w:hAnsi="Cambria"/>
          <w:i/>
          <w:iCs/>
          <w:sz w:val="22"/>
          <w:szCs w:val="22"/>
        </w:rPr>
        <w:t xml:space="preserve"> $50 billion by 2050.</w:t>
      </w:r>
      <w:r>
        <w:rPr>
          <w:rFonts w:ascii="Cambria" w:hAnsi="Cambria"/>
          <w:i/>
          <w:iCs/>
          <w:sz w:val="22"/>
          <w:szCs w:val="22"/>
        </w:rPr>
        <w:t xml:space="preserve"> What stands in our way?</w:t>
      </w:r>
    </w:p>
    <w:p w:rsidR="002678DF" w:rsidP="006A3B68" w:rsidRDefault="002678DF" w14:paraId="2A3E4CE6" w14:textId="77777777">
      <w:pPr>
        <w:jc w:val="both"/>
        <w:rPr>
          <w:rFonts w:ascii="Cambria" w:hAnsi="Cambria"/>
          <w:sz w:val="22"/>
          <w:szCs w:val="22"/>
        </w:rPr>
      </w:pPr>
      <w:r w:rsidRPr="002678DF">
        <w:rPr>
          <w:rFonts w:ascii="Cambria" w:hAnsi="Cambria"/>
          <w:sz w:val="22"/>
          <w:szCs w:val="22"/>
        </w:rPr>
        <w:t>Australia has a distinct advantage in a net zero economy: the ability to supply high-integrity credits that create both economic and environmental value.</w:t>
      </w:r>
    </w:p>
    <w:p w:rsidRPr="006A3B68" w:rsidR="006A3B68" w:rsidP="006A3B68" w:rsidRDefault="006A3B68" w14:paraId="293BF3E5" w14:textId="3A7B9846">
      <w:pPr>
        <w:jc w:val="both"/>
        <w:rPr>
          <w:rFonts w:ascii="Cambria" w:hAnsi="Cambria"/>
          <w:sz w:val="22"/>
          <w:szCs w:val="22"/>
        </w:rPr>
      </w:pPr>
      <w:r w:rsidRPr="2BEFB955" w:rsidR="006A3B68">
        <w:rPr>
          <w:rFonts w:ascii="Cambria" w:hAnsi="Cambria"/>
          <w:sz w:val="22"/>
          <w:szCs w:val="22"/>
        </w:rPr>
        <w:t xml:space="preserve">EY Net Zero Centre analysis, published in the flagship report </w:t>
      </w:r>
      <w:r w:rsidRPr="2BEFB955" w:rsidR="006A3B68">
        <w:rPr>
          <w:rFonts w:ascii="Cambria" w:hAnsi="Cambria"/>
          <w:i w:val="1"/>
          <w:iCs w:val="1"/>
          <w:sz w:val="22"/>
          <w:szCs w:val="22"/>
        </w:rPr>
        <w:t>Charting Australia's path to 2035 and beyond</w:t>
      </w:r>
      <w:r w:rsidRPr="2BEFB955" w:rsidR="006A3B68">
        <w:rPr>
          <w:rFonts w:ascii="Cambria" w:hAnsi="Cambria"/>
          <w:sz w:val="22"/>
          <w:szCs w:val="22"/>
        </w:rPr>
        <w:t>,</w:t>
      </w:r>
      <w:r w:rsidRPr="2BEFB955" w:rsidR="006A3B68">
        <w:rPr>
          <w:rFonts w:ascii="Cambria" w:hAnsi="Cambria"/>
          <w:sz w:val="22"/>
          <w:szCs w:val="22"/>
        </w:rPr>
        <w:t xml:space="preserve"> </w:t>
      </w:r>
      <w:r w:rsidRPr="2BEFB955" w:rsidR="006A3B68">
        <w:rPr>
          <w:rFonts w:ascii="Cambria" w:hAnsi="Cambria"/>
          <w:sz w:val="22"/>
          <w:szCs w:val="22"/>
        </w:rPr>
        <w:t>identifies</w:t>
      </w:r>
      <w:r w:rsidRPr="2BEFB955" w:rsidR="006A3B68">
        <w:rPr>
          <w:rFonts w:ascii="Cambria" w:hAnsi="Cambria"/>
          <w:sz w:val="22"/>
          <w:szCs w:val="22"/>
        </w:rPr>
        <w:t xml:space="preserve"> scaling up </w:t>
      </w:r>
      <w:r w:rsidRPr="2BEFB955" w:rsidR="006A3B68">
        <w:rPr>
          <w:rFonts w:ascii="Cambria" w:hAnsi="Cambria"/>
          <w:sz w:val="22"/>
          <w:szCs w:val="22"/>
        </w:rPr>
        <w:t xml:space="preserve">land sector removals as one of the eight </w:t>
      </w:r>
      <w:r w:rsidRPr="2BEFB955" w:rsidR="23C5DEA3">
        <w:rPr>
          <w:rFonts w:ascii="Cambria" w:hAnsi="Cambria"/>
          <w:sz w:val="22"/>
          <w:szCs w:val="22"/>
        </w:rPr>
        <w:t>‘</w:t>
      </w:r>
      <w:r w:rsidRPr="2BEFB955" w:rsidR="006A3B68">
        <w:rPr>
          <w:rFonts w:ascii="Cambria" w:hAnsi="Cambria"/>
          <w:sz w:val="22"/>
          <w:szCs w:val="22"/>
        </w:rPr>
        <w:t>keys</w:t>
      </w:r>
      <w:r w:rsidRPr="2BEFB955" w:rsidR="4BCF9A77">
        <w:rPr>
          <w:rFonts w:ascii="Cambria" w:hAnsi="Cambria"/>
          <w:sz w:val="22"/>
          <w:szCs w:val="22"/>
        </w:rPr>
        <w:t>’</w:t>
      </w:r>
      <w:r w:rsidRPr="2BEFB955" w:rsidR="006A3B68">
        <w:rPr>
          <w:rFonts w:ascii="Cambria" w:hAnsi="Cambria"/>
          <w:sz w:val="22"/>
          <w:szCs w:val="22"/>
        </w:rPr>
        <w:t xml:space="preserve"> to unlock</w:t>
      </w:r>
      <w:r w:rsidRPr="2BEFB955" w:rsidR="00440FAD">
        <w:rPr>
          <w:rFonts w:ascii="Cambria" w:hAnsi="Cambria"/>
          <w:sz w:val="22"/>
          <w:szCs w:val="22"/>
        </w:rPr>
        <w:t>ing</w:t>
      </w:r>
      <w:r w:rsidRPr="2BEFB955" w:rsidR="006A3B68">
        <w:rPr>
          <w:rFonts w:ascii="Cambria" w:hAnsi="Cambria"/>
          <w:sz w:val="22"/>
          <w:szCs w:val="22"/>
        </w:rPr>
        <w:t xml:space="preserve"> lower costs, improv</w:t>
      </w:r>
      <w:r w:rsidRPr="2BEFB955" w:rsidR="00440FAD">
        <w:rPr>
          <w:rFonts w:ascii="Cambria" w:hAnsi="Cambria"/>
          <w:sz w:val="22"/>
          <w:szCs w:val="22"/>
        </w:rPr>
        <w:t xml:space="preserve">ing </w:t>
      </w:r>
      <w:r w:rsidRPr="2BEFB955" w:rsidR="006A3B68">
        <w:rPr>
          <w:rFonts w:ascii="Cambria" w:hAnsi="Cambria"/>
          <w:sz w:val="22"/>
          <w:szCs w:val="22"/>
        </w:rPr>
        <w:t>security</w:t>
      </w:r>
      <w:r w:rsidRPr="2BEFB955" w:rsidR="006A3B68">
        <w:rPr>
          <w:rFonts w:ascii="Cambria" w:hAnsi="Cambria"/>
          <w:sz w:val="22"/>
          <w:szCs w:val="22"/>
        </w:rPr>
        <w:t xml:space="preserve"> and </w:t>
      </w:r>
      <w:r w:rsidRPr="2BEFB955" w:rsidR="7AF48C97">
        <w:rPr>
          <w:rFonts w:ascii="Cambria" w:hAnsi="Cambria"/>
          <w:sz w:val="22"/>
          <w:szCs w:val="22"/>
        </w:rPr>
        <w:t xml:space="preserve">providing </w:t>
      </w:r>
      <w:r w:rsidRPr="2BEFB955" w:rsidR="006A3B68">
        <w:rPr>
          <w:rFonts w:ascii="Cambria" w:hAnsi="Cambria"/>
          <w:sz w:val="22"/>
          <w:szCs w:val="22"/>
        </w:rPr>
        <w:t>net zero emissions.</w:t>
      </w:r>
    </w:p>
    <w:p w:rsidRPr="006A3B68" w:rsidR="006A3B68" w:rsidP="006A3B68" w:rsidRDefault="006A3B68" w14:paraId="6584E4E2" w14:textId="35C31FC1">
      <w:pPr>
        <w:rPr>
          <w:rFonts w:ascii="Cambria" w:hAnsi="Cambria"/>
          <w:sz w:val="22"/>
          <w:szCs w:val="22"/>
        </w:rPr>
      </w:pPr>
      <w:r w:rsidRPr="006A3B68">
        <w:rPr>
          <w:rFonts w:ascii="Cambria" w:hAnsi="Cambria"/>
          <w:sz w:val="22"/>
          <w:szCs w:val="22"/>
        </w:rPr>
        <w:t>Today, that potential remains under-realised. What can we do?</w:t>
      </w:r>
    </w:p>
    <w:p w:rsidR="006A3B68" w:rsidP="006A3B68" w:rsidRDefault="006A3B68" w14:paraId="3B365589" w14:textId="77777777">
      <w:pPr>
        <w:rPr>
          <w:rFonts w:ascii="Cambria" w:hAnsi="Cambria"/>
          <w:b/>
          <w:bCs/>
          <w:sz w:val="22"/>
          <w:szCs w:val="22"/>
        </w:rPr>
      </w:pPr>
    </w:p>
    <w:p w:rsidRPr="006A3B68" w:rsidR="006A3B68" w:rsidP="006A3B68" w:rsidRDefault="006A3B68" w14:paraId="46A0F3C8" w14:textId="138613F9">
      <w:pPr>
        <w:rPr>
          <w:rFonts w:ascii="Cambria" w:hAnsi="Cambria"/>
          <w:sz w:val="22"/>
          <w:szCs w:val="22"/>
        </w:rPr>
      </w:pPr>
      <w:r w:rsidRPr="006A3B68">
        <w:rPr>
          <w:rFonts w:ascii="Cambria" w:hAnsi="Cambria"/>
          <w:b/>
          <w:bCs/>
          <w:sz w:val="22"/>
          <w:szCs w:val="22"/>
        </w:rPr>
        <w:t>Carbon credits are an economic asset</w:t>
      </w:r>
    </w:p>
    <w:p w:rsidR="006A3B68" w:rsidP="006D63B5" w:rsidRDefault="006D63B5" w14:paraId="3A57A5E9" w14:textId="1D05EFCF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EY Net Zero Centre a</w:t>
      </w:r>
      <w:r w:rsidRPr="006A3B68" w:rsidR="006A3B68">
        <w:rPr>
          <w:rFonts w:ascii="Cambria" w:hAnsi="Cambria"/>
          <w:sz w:val="22"/>
          <w:szCs w:val="22"/>
        </w:rPr>
        <w:t xml:space="preserve">nalysis finds </w:t>
      </w:r>
      <w:r w:rsidR="00260400">
        <w:rPr>
          <w:rFonts w:ascii="Cambria" w:hAnsi="Cambria"/>
          <w:sz w:val="22"/>
          <w:szCs w:val="22"/>
        </w:rPr>
        <w:t xml:space="preserve">that </w:t>
      </w:r>
      <w:r w:rsidRPr="006A3B68" w:rsidR="006A3B68">
        <w:rPr>
          <w:rFonts w:ascii="Cambria" w:hAnsi="Cambria"/>
          <w:sz w:val="22"/>
          <w:szCs w:val="22"/>
        </w:rPr>
        <w:t xml:space="preserve">cost-effective action to achieve net zero would </w:t>
      </w:r>
      <w:r w:rsidR="00260400">
        <w:rPr>
          <w:rFonts w:ascii="Cambria" w:hAnsi="Cambria"/>
          <w:sz w:val="22"/>
          <w:szCs w:val="22"/>
        </w:rPr>
        <w:t>reduce</w:t>
      </w:r>
      <w:r w:rsidRPr="006A3B68" w:rsidR="006A3B68">
        <w:rPr>
          <w:rFonts w:ascii="Cambria" w:hAnsi="Cambria"/>
          <w:sz w:val="22"/>
          <w:szCs w:val="22"/>
        </w:rPr>
        <w:t xml:space="preserve"> </w:t>
      </w:r>
      <w:r w:rsidR="00260400">
        <w:rPr>
          <w:rFonts w:ascii="Cambria" w:hAnsi="Cambria"/>
          <w:sz w:val="22"/>
          <w:szCs w:val="22"/>
        </w:rPr>
        <w:t xml:space="preserve">Australia’s gross </w:t>
      </w:r>
      <w:r w:rsidRPr="006A3B68" w:rsidR="006A3B68">
        <w:rPr>
          <w:rFonts w:ascii="Cambria" w:hAnsi="Cambria"/>
          <w:sz w:val="22"/>
          <w:szCs w:val="22"/>
        </w:rPr>
        <w:t>emissions 75-80% by 2050</w:t>
      </w:r>
      <w:r w:rsidR="00260400">
        <w:rPr>
          <w:rFonts w:ascii="Cambria" w:hAnsi="Cambria"/>
          <w:sz w:val="22"/>
          <w:szCs w:val="22"/>
        </w:rPr>
        <w:t>. R</w:t>
      </w:r>
      <w:r w:rsidRPr="006A3B68" w:rsidR="006A3B68">
        <w:rPr>
          <w:rFonts w:ascii="Cambria" w:hAnsi="Cambria"/>
          <w:sz w:val="22"/>
          <w:szCs w:val="22"/>
        </w:rPr>
        <w:t xml:space="preserve">esidual emissions – largely from export activities – </w:t>
      </w:r>
      <w:r w:rsidR="00260400">
        <w:rPr>
          <w:rFonts w:ascii="Cambria" w:hAnsi="Cambria"/>
          <w:sz w:val="22"/>
          <w:szCs w:val="22"/>
        </w:rPr>
        <w:t xml:space="preserve">would </w:t>
      </w:r>
      <w:r w:rsidR="00440FAD">
        <w:rPr>
          <w:rFonts w:ascii="Cambria" w:hAnsi="Cambria"/>
          <w:sz w:val="22"/>
          <w:szCs w:val="22"/>
        </w:rPr>
        <w:t xml:space="preserve">need to </w:t>
      </w:r>
      <w:r w:rsidR="00260400">
        <w:rPr>
          <w:rFonts w:ascii="Cambria" w:hAnsi="Cambria"/>
          <w:sz w:val="22"/>
          <w:szCs w:val="22"/>
        </w:rPr>
        <w:t xml:space="preserve">be </w:t>
      </w:r>
      <w:r w:rsidRPr="006A3B68" w:rsidR="006A3B68">
        <w:rPr>
          <w:rFonts w:ascii="Cambria" w:hAnsi="Cambria"/>
          <w:sz w:val="22"/>
          <w:szCs w:val="22"/>
        </w:rPr>
        <w:t>offset by high</w:t>
      </w:r>
      <w:r w:rsidR="00260400">
        <w:rPr>
          <w:rFonts w:ascii="Cambria" w:hAnsi="Cambria"/>
          <w:sz w:val="22"/>
          <w:szCs w:val="22"/>
        </w:rPr>
        <w:t>-</w:t>
      </w:r>
      <w:r w:rsidRPr="006A3B68" w:rsidR="006A3B68">
        <w:rPr>
          <w:rFonts w:ascii="Cambria" w:hAnsi="Cambria"/>
          <w:sz w:val="22"/>
          <w:szCs w:val="22"/>
        </w:rPr>
        <w:t>integrity credits.</w:t>
      </w:r>
    </w:p>
    <w:p w:rsidR="00431AD4" w:rsidP="00431AD4" w:rsidRDefault="00431AD4" w14:paraId="1F8DD689" w14:textId="7712301D">
      <w:pPr>
        <w:jc w:val="both"/>
        <w:rPr>
          <w:rFonts w:ascii="Cambria" w:hAnsi="Cambria"/>
          <w:sz w:val="22"/>
          <w:szCs w:val="22"/>
        </w:rPr>
      </w:pPr>
      <w:r w:rsidRPr="280A48BF" w:rsidR="00431AD4">
        <w:rPr>
          <w:rFonts w:ascii="Cambria" w:hAnsi="Cambria"/>
          <w:sz w:val="22"/>
          <w:szCs w:val="22"/>
        </w:rPr>
        <w:t xml:space="preserve">EY analysis finds that </w:t>
      </w:r>
      <w:r w:rsidRPr="280A48BF" w:rsidR="00D67837">
        <w:rPr>
          <w:rFonts w:ascii="Cambria" w:hAnsi="Cambria"/>
          <w:sz w:val="22"/>
          <w:szCs w:val="22"/>
        </w:rPr>
        <w:t xml:space="preserve">‘homegrown’ </w:t>
      </w:r>
      <w:r w:rsidRPr="280A48BF" w:rsidR="00431AD4">
        <w:rPr>
          <w:rFonts w:ascii="Cambria" w:hAnsi="Cambria"/>
          <w:sz w:val="22"/>
          <w:szCs w:val="22"/>
        </w:rPr>
        <w:t>land</w:t>
      </w:r>
      <w:r w:rsidRPr="280A48BF" w:rsidR="7DF1C18D">
        <w:rPr>
          <w:rFonts w:ascii="Cambria" w:hAnsi="Cambria"/>
          <w:sz w:val="22"/>
          <w:szCs w:val="22"/>
        </w:rPr>
        <w:t>-</w:t>
      </w:r>
      <w:r w:rsidRPr="280A48BF" w:rsidR="00431AD4">
        <w:rPr>
          <w:rFonts w:ascii="Cambria" w:hAnsi="Cambria"/>
          <w:sz w:val="22"/>
          <w:szCs w:val="22"/>
        </w:rPr>
        <w:t xml:space="preserve">sector carbon credits could contribute 27% of Australia’s abatement task by 2050, generate $44 billion in credit value and lift national income by $49 billion. </w:t>
      </w:r>
    </w:p>
    <w:p w:rsidR="00260400" w:rsidP="00260400" w:rsidRDefault="00260400" w14:paraId="505DBCE5" w14:textId="15917FEC">
      <w:pPr>
        <w:jc w:val="both"/>
        <w:rPr>
          <w:rFonts w:ascii="Cambria" w:hAnsi="Cambria"/>
          <w:sz w:val="22"/>
          <w:szCs w:val="22"/>
        </w:rPr>
      </w:pPr>
      <w:r w:rsidRPr="0ABFEC7E">
        <w:rPr>
          <w:rFonts w:ascii="Cambria" w:hAnsi="Cambria"/>
          <w:sz w:val="22"/>
          <w:szCs w:val="22"/>
        </w:rPr>
        <w:t xml:space="preserve">Agriculture illustrates </w:t>
      </w:r>
      <w:r w:rsidRPr="0ABFEC7E" w:rsidR="002678DF">
        <w:rPr>
          <w:rFonts w:ascii="Cambria" w:hAnsi="Cambria"/>
          <w:sz w:val="22"/>
          <w:szCs w:val="22"/>
        </w:rPr>
        <w:t>the potential</w:t>
      </w:r>
      <w:r w:rsidRPr="0ABFEC7E">
        <w:rPr>
          <w:rFonts w:ascii="Cambria" w:hAnsi="Cambria"/>
          <w:sz w:val="22"/>
          <w:szCs w:val="22"/>
        </w:rPr>
        <w:t xml:space="preserve">. By mid-century, agriculture could account for nearly half of Australia’s gross emissions, up from 18% today. Agriculture will likely need to rely on carbon credits to reach net zero. </w:t>
      </w:r>
      <w:r w:rsidRPr="0ABFEC7E" w:rsidR="002678DF">
        <w:rPr>
          <w:rFonts w:ascii="Cambria" w:hAnsi="Cambria"/>
          <w:sz w:val="22"/>
          <w:szCs w:val="22"/>
        </w:rPr>
        <w:t>G</w:t>
      </w:r>
      <w:r w:rsidRPr="0ABFEC7E">
        <w:rPr>
          <w:rFonts w:ascii="Cambria" w:hAnsi="Cambria"/>
          <w:sz w:val="22"/>
          <w:szCs w:val="22"/>
        </w:rPr>
        <w:t xml:space="preserve">iven that 70% of Australia’s agricultural output is exported, it will be important that the </w:t>
      </w:r>
      <w:r w:rsidRPr="0ABFEC7E" w:rsidR="00D67837">
        <w:rPr>
          <w:rFonts w:ascii="Cambria" w:hAnsi="Cambria"/>
          <w:sz w:val="22"/>
          <w:szCs w:val="22"/>
        </w:rPr>
        <w:t xml:space="preserve">value </w:t>
      </w:r>
      <w:r w:rsidRPr="0ABFEC7E">
        <w:rPr>
          <w:rFonts w:ascii="Cambria" w:hAnsi="Cambria"/>
          <w:sz w:val="22"/>
          <w:szCs w:val="22"/>
        </w:rPr>
        <w:t>of those credits is passed on to international consumers, not subsidised by Australian taxpayers.</w:t>
      </w:r>
    </w:p>
    <w:p w:rsidR="00431AD4" w:rsidP="00431AD4" w:rsidRDefault="00431AD4" w14:paraId="65603E4B" w14:textId="69303C18">
      <w:pPr>
        <w:jc w:val="both"/>
        <w:rPr>
          <w:rFonts w:ascii="Cambria" w:hAnsi="Cambria"/>
          <w:sz w:val="22"/>
          <w:szCs w:val="22"/>
        </w:rPr>
      </w:pPr>
      <w:r w:rsidRPr="280A48BF" w:rsidR="00431AD4">
        <w:rPr>
          <w:rFonts w:ascii="Cambria" w:hAnsi="Cambria"/>
          <w:sz w:val="22"/>
          <w:szCs w:val="22"/>
        </w:rPr>
        <w:t xml:space="preserve">By </w:t>
      </w:r>
      <w:r w:rsidRPr="280A48BF" w:rsidR="00D67837">
        <w:rPr>
          <w:rFonts w:ascii="Cambria" w:hAnsi="Cambria"/>
          <w:sz w:val="22"/>
          <w:szCs w:val="22"/>
        </w:rPr>
        <w:t xml:space="preserve">creating </w:t>
      </w:r>
      <w:r w:rsidRPr="280A48BF" w:rsidR="00431AD4">
        <w:rPr>
          <w:rFonts w:ascii="Cambria" w:hAnsi="Cambria"/>
          <w:sz w:val="22"/>
          <w:szCs w:val="22"/>
        </w:rPr>
        <w:t xml:space="preserve">cost-competitive credits domestically, Australia can reduce the need to </w:t>
      </w:r>
      <w:r w:rsidRPr="280A48BF" w:rsidR="00431AD4">
        <w:rPr>
          <w:rFonts w:ascii="Cambria" w:hAnsi="Cambria"/>
          <w:sz w:val="22"/>
          <w:szCs w:val="22"/>
        </w:rPr>
        <w:t>purchase</w:t>
      </w:r>
      <w:r w:rsidRPr="280A48BF" w:rsidR="00431AD4">
        <w:rPr>
          <w:rFonts w:ascii="Cambria" w:hAnsi="Cambria"/>
          <w:sz w:val="22"/>
          <w:szCs w:val="22"/>
        </w:rPr>
        <w:t xml:space="preserve"> international units, avoiding capital outflows</w:t>
      </w:r>
      <w:r w:rsidRPr="280A48BF" w:rsidR="00BD4EFD">
        <w:rPr>
          <w:rFonts w:ascii="Cambria" w:hAnsi="Cambria"/>
          <w:sz w:val="22"/>
          <w:szCs w:val="22"/>
        </w:rPr>
        <w:t xml:space="preserve"> and reducing </w:t>
      </w:r>
      <w:r w:rsidRPr="280A48BF" w:rsidR="00BD4EFD">
        <w:rPr>
          <w:rFonts w:ascii="Cambria" w:hAnsi="Cambria"/>
          <w:sz w:val="22"/>
          <w:szCs w:val="22"/>
        </w:rPr>
        <w:t>risk</w:t>
      </w:r>
      <w:r w:rsidRPr="280A48BF" w:rsidR="00BD4EFD">
        <w:rPr>
          <w:rFonts w:ascii="Cambria" w:hAnsi="Cambria"/>
          <w:sz w:val="22"/>
          <w:szCs w:val="22"/>
        </w:rPr>
        <w:t xml:space="preserve"> for integrity concerns</w:t>
      </w:r>
      <w:r w:rsidRPr="280A48BF" w:rsidR="00431AD4">
        <w:rPr>
          <w:rFonts w:ascii="Cambria" w:hAnsi="Cambria"/>
          <w:sz w:val="22"/>
          <w:szCs w:val="22"/>
        </w:rPr>
        <w:t xml:space="preserve">. </w:t>
      </w:r>
    </w:p>
    <w:p w:rsidRPr="00260400" w:rsidR="00260400" w:rsidP="00260400" w:rsidRDefault="00260400" w14:paraId="37247289" w14:textId="7E305437">
      <w:pPr>
        <w:jc w:val="both"/>
        <w:rPr>
          <w:rFonts w:ascii="Cambria" w:hAnsi="Cambria"/>
          <w:sz w:val="22"/>
          <w:szCs w:val="22"/>
        </w:rPr>
      </w:pPr>
      <w:r w:rsidRPr="280A48BF" w:rsidR="00260400">
        <w:rPr>
          <w:rFonts w:ascii="Cambria" w:hAnsi="Cambria"/>
          <w:sz w:val="22"/>
          <w:szCs w:val="22"/>
        </w:rPr>
        <w:t>If</w:t>
      </w:r>
      <w:r w:rsidRPr="280A48BF" w:rsidR="00260400">
        <w:rPr>
          <w:rFonts w:ascii="Cambria" w:hAnsi="Cambria"/>
          <w:sz w:val="22"/>
          <w:szCs w:val="22"/>
        </w:rPr>
        <w:t xml:space="preserve"> aligned with nature repair, </w:t>
      </w:r>
      <w:r w:rsidRPr="280A48BF" w:rsidR="00260400">
        <w:rPr>
          <w:rFonts w:ascii="Cambria" w:hAnsi="Cambria"/>
          <w:sz w:val="22"/>
          <w:szCs w:val="22"/>
        </w:rPr>
        <w:t>land</w:t>
      </w:r>
      <w:r w:rsidRPr="280A48BF" w:rsidR="18548F74">
        <w:rPr>
          <w:rFonts w:ascii="Cambria" w:hAnsi="Cambria"/>
          <w:sz w:val="22"/>
          <w:szCs w:val="22"/>
        </w:rPr>
        <w:t>-</w:t>
      </w:r>
      <w:r w:rsidRPr="280A48BF" w:rsidR="00260400">
        <w:rPr>
          <w:rFonts w:ascii="Cambria" w:hAnsi="Cambria"/>
          <w:sz w:val="22"/>
          <w:szCs w:val="22"/>
        </w:rPr>
        <w:t>sector</w:t>
      </w:r>
      <w:r w:rsidRPr="280A48BF" w:rsidR="00260400">
        <w:rPr>
          <w:rFonts w:ascii="Cambria" w:hAnsi="Cambria"/>
          <w:sz w:val="22"/>
          <w:szCs w:val="22"/>
        </w:rPr>
        <w:t xml:space="preserve"> credits could </w:t>
      </w:r>
      <w:r w:rsidRPr="280A48BF" w:rsidR="00D67837">
        <w:rPr>
          <w:rFonts w:ascii="Cambria" w:hAnsi="Cambria"/>
          <w:sz w:val="22"/>
          <w:szCs w:val="22"/>
        </w:rPr>
        <w:t xml:space="preserve">also </w:t>
      </w:r>
      <w:r w:rsidRPr="280A48BF" w:rsidR="00260400">
        <w:rPr>
          <w:rFonts w:ascii="Cambria" w:hAnsi="Cambria"/>
          <w:sz w:val="22"/>
          <w:szCs w:val="22"/>
        </w:rPr>
        <w:t>help Australia build a nature-positive global reputation</w:t>
      </w:r>
      <w:r w:rsidRPr="280A48BF" w:rsidR="00D67837">
        <w:rPr>
          <w:rFonts w:ascii="Cambria" w:hAnsi="Cambria"/>
          <w:sz w:val="22"/>
          <w:szCs w:val="22"/>
        </w:rPr>
        <w:t xml:space="preserve"> and </w:t>
      </w:r>
      <w:r w:rsidRPr="280A48BF" w:rsidR="00431AD4">
        <w:rPr>
          <w:rFonts w:ascii="Cambria" w:hAnsi="Cambria"/>
          <w:sz w:val="22"/>
          <w:szCs w:val="22"/>
        </w:rPr>
        <w:t>support a 34% increase in habitat across priority regions</w:t>
      </w:r>
      <w:r w:rsidRPr="280A48BF" w:rsidR="00431AD4">
        <w:rPr>
          <w:rFonts w:ascii="Cambria" w:hAnsi="Cambria"/>
          <w:sz w:val="22"/>
          <w:szCs w:val="22"/>
        </w:rPr>
        <w:t>,</w:t>
      </w:r>
      <w:r w:rsidRPr="280A48BF" w:rsidR="00431AD4">
        <w:rPr>
          <w:rFonts w:ascii="Cambria" w:hAnsi="Cambria"/>
          <w:sz w:val="22"/>
          <w:szCs w:val="22"/>
        </w:rPr>
        <w:t xml:space="preserve"> </w:t>
      </w:r>
      <w:r w:rsidRPr="280A48BF" w:rsidR="00D67837">
        <w:rPr>
          <w:rFonts w:ascii="Cambria" w:hAnsi="Cambria"/>
          <w:sz w:val="22"/>
          <w:szCs w:val="22"/>
        </w:rPr>
        <w:t xml:space="preserve">while </w:t>
      </w:r>
      <w:r w:rsidRPr="280A48BF" w:rsidR="00260400">
        <w:rPr>
          <w:rFonts w:ascii="Cambria" w:hAnsi="Cambria"/>
          <w:sz w:val="22"/>
          <w:szCs w:val="22"/>
        </w:rPr>
        <w:t>increas</w:t>
      </w:r>
      <w:r w:rsidRPr="280A48BF" w:rsidR="00D67837">
        <w:rPr>
          <w:rFonts w:ascii="Cambria" w:hAnsi="Cambria"/>
          <w:sz w:val="22"/>
          <w:szCs w:val="22"/>
        </w:rPr>
        <w:t xml:space="preserve">ing </w:t>
      </w:r>
      <w:r w:rsidRPr="280A48BF" w:rsidR="00260400">
        <w:rPr>
          <w:rFonts w:ascii="Cambria" w:hAnsi="Cambria"/>
          <w:sz w:val="22"/>
          <w:szCs w:val="22"/>
        </w:rPr>
        <w:t>agricultural value added by 30% and lift</w:t>
      </w:r>
      <w:r w:rsidRPr="280A48BF" w:rsidR="00D67837">
        <w:rPr>
          <w:rFonts w:ascii="Cambria" w:hAnsi="Cambria"/>
          <w:sz w:val="22"/>
          <w:szCs w:val="22"/>
        </w:rPr>
        <w:t>ing</w:t>
      </w:r>
      <w:r w:rsidRPr="280A48BF" w:rsidR="00260400">
        <w:rPr>
          <w:rFonts w:ascii="Cambria" w:hAnsi="Cambria"/>
          <w:sz w:val="22"/>
          <w:szCs w:val="22"/>
        </w:rPr>
        <w:t xml:space="preserve"> national income by</w:t>
      </w:r>
      <w:r w:rsidRPr="280A48BF" w:rsidR="002678DF">
        <w:rPr>
          <w:rFonts w:ascii="Cambria" w:hAnsi="Cambria"/>
          <w:sz w:val="22"/>
          <w:szCs w:val="22"/>
        </w:rPr>
        <w:t xml:space="preserve"> </w:t>
      </w:r>
      <w:r w:rsidRPr="280A48BF" w:rsidR="00D67837">
        <w:rPr>
          <w:rFonts w:ascii="Cambria" w:hAnsi="Cambria"/>
          <w:sz w:val="22"/>
          <w:szCs w:val="22"/>
        </w:rPr>
        <w:t xml:space="preserve">an </w:t>
      </w:r>
      <w:r w:rsidRPr="280A48BF" w:rsidR="00D67837">
        <w:rPr>
          <w:rFonts w:ascii="Cambria" w:hAnsi="Cambria"/>
          <w:sz w:val="22"/>
          <w:szCs w:val="22"/>
        </w:rPr>
        <w:t>additional</w:t>
      </w:r>
      <w:r w:rsidRPr="280A48BF" w:rsidR="00D67837">
        <w:rPr>
          <w:rFonts w:ascii="Cambria" w:hAnsi="Cambria"/>
          <w:sz w:val="22"/>
          <w:szCs w:val="22"/>
        </w:rPr>
        <w:t xml:space="preserve"> </w:t>
      </w:r>
      <w:r w:rsidRPr="280A48BF" w:rsidR="00260400">
        <w:rPr>
          <w:rFonts w:ascii="Cambria" w:hAnsi="Cambria"/>
          <w:sz w:val="22"/>
          <w:szCs w:val="22"/>
        </w:rPr>
        <w:t>$45 billion.</w:t>
      </w:r>
    </w:p>
    <w:p w:rsidR="00260400" w:rsidP="006D63B5" w:rsidRDefault="00260400" w14:paraId="7304B04A" w14:textId="77777777">
      <w:pPr>
        <w:jc w:val="both"/>
        <w:rPr>
          <w:rFonts w:ascii="Cambria" w:hAnsi="Cambria"/>
          <w:sz w:val="22"/>
          <w:szCs w:val="22"/>
        </w:rPr>
      </w:pPr>
    </w:p>
    <w:p w:rsidR="006D63B5" w:rsidP="006D63B5" w:rsidRDefault="006D63B5" w14:paraId="36BF2670" w14:textId="05D34346">
      <w:pPr>
        <w:jc w:val="center"/>
        <w:rPr>
          <w:rFonts w:ascii="Cambria" w:hAnsi="Cambria"/>
          <w:sz w:val="22"/>
          <w:szCs w:val="22"/>
        </w:rPr>
      </w:pPr>
      <w:r w:rsidRPr="006D63B5">
        <w:rPr>
          <w:rFonts w:ascii="Cambria" w:hAnsi="Cambria"/>
          <w:noProof/>
          <w:sz w:val="22"/>
          <w:szCs w:val="22"/>
        </w:rPr>
        <w:lastRenderedPageBreak/>
        <w:drawing>
          <wp:inline distT="0" distB="0" distL="0" distR="0" wp14:anchorId="14C87B52" wp14:editId="455972CD">
            <wp:extent cx="2555594" cy="3459480"/>
            <wp:effectExtent l="0" t="0" r="0" b="7620"/>
            <wp:docPr id="85312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25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076" cy="346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D63B5" w:rsidR="006D63B5" w:rsidP="006D63B5" w:rsidRDefault="006D63B5" w14:paraId="22688112" w14:textId="42BC089F">
      <w:pPr>
        <w:jc w:val="center"/>
        <w:rPr>
          <w:rFonts w:ascii="Cambria" w:hAnsi="Cambria"/>
          <w:sz w:val="18"/>
          <w:szCs w:val="18"/>
        </w:rPr>
      </w:pPr>
      <w:r w:rsidRPr="006D63B5">
        <w:rPr>
          <w:rFonts w:ascii="Cambria" w:hAnsi="Cambria"/>
          <w:sz w:val="18"/>
          <w:szCs w:val="18"/>
        </w:rPr>
        <w:t>Source: EY Net Zero Centre, 2025.</w:t>
      </w:r>
    </w:p>
    <w:p w:rsidR="006D63B5" w:rsidP="006D63B5" w:rsidRDefault="006D63B5" w14:paraId="5169CD53" w14:textId="77777777">
      <w:pPr>
        <w:jc w:val="both"/>
        <w:rPr>
          <w:rFonts w:ascii="Cambria" w:hAnsi="Cambria"/>
          <w:sz w:val="22"/>
          <w:szCs w:val="22"/>
        </w:rPr>
      </w:pPr>
    </w:p>
    <w:p w:rsidR="00440FAD" w:rsidP="00497D1E" w:rsidRDefault="00440FAD" w14:paraId="44641944" w14:textId="77777777">
      <w:pPr>
        <w:rPr>
          <w:rFonts w:ascii="Cambria" w:hAnsi="Cambria"/>
          <w:b/>
          <w:bCs/>
          <w:sz w:val="22"/>
          <w:szCs w:val="22"/>
        </w:rPr>
      </w:pPr>
      <w:r w:rsidRPr="00440FAD">
        <w:rPr>
          <w:rFonts w:ascii="Cambria" w:hAnsi="Cambria"/>
          <w:b/>
          <w:bCs/>
          <w:sz w:val="22"/>
          <w:szCs w:val="22"/>
        </w:rPr>
        <w:t>Realising potential requires policy reform</w:t>
      </w:r>
    </w:p>
    <w:p w:rsidRPr="006A3B68" w:rsidR="00497D1E" w:rsidP="00497D1E" w:rsidRDefault="00497D1E" w14:paraId="26A28EEC" w14:textId="006DDF4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These are </w:t>
      </w:r>
      <w:r w:rsidR="002678DF">
        <w:rPr>
          <w:rFonts w:ascii="Cambria" w:hAnsi="Cambria"/>
          <w:sz w:val="22"/>
          <w:szCs w:val="22"/>
        </w:rPr>
        <w:t>big numbers</w:t>
      </w:r>
      <w:r>
        <w:rPr>
          <w:rFonts w:ascii="Cambria" w:hAnsi="Cambria"/>
          <w:sz w:val="22"/>
          <w:szCs w:val="22"/>
        </w:rPr>
        <w:t xml:space="preserve">. </w:t>
      </w:r>
      <w:r w:rsidR="00440FAD">
        <w:rPr>
          <w:rFonts w:ascii="Cambria" w:hAnsi="Cambria"/>
          <w:sz w:val="22"/>
          <w:szCs w:val="22"/>
        </w:rPr>
        <w:t>Now</w:t>
      </w:r>
      <w:r>
        <w:rPr>
          <w:rFonts w:ascii="Cambria" w:hAnsi="Cambria"/>
          <w:sz w:val="22"/>
          <w:szCs w:val="22"/>
        </w:rPr>
        <w:t xml:space="preserve"> policy </w:t>
      </w:r>
      <w:r w:rsidRPr="00497D1E">
        <w:rPr>
          <w:rFonts w:ascii="Cambria" w:hAnsi="Cambria"/>
          <w:sz w:val="22"/>
          <w:szCs w:val="22"/>
        </w:rPr>
        <w:t xml:space="preserve">must </w:t>
      </w:r>
      <w:r w:rsidRPr="006A3B68">
        <w:rPr>
          <w:rFonts w:ascii="Cambria" w:hAnsi="Cambria"/>
          <w:sz w:val="22"/>
          <w:szCs w:val="22"/>
        </w:rPr>
        <w:t xml:space="preserve">evolve to unlock </w:t>
      </w:r>
      <w:r w:rsidR="00440FAD">
        <w:rPr>
          <w:rFonts w:ascii="Cambria" w:hAnsi="Cambria"/>
          <w:sz w:val="22"/>
          <w:szCs w:val="22"/>
        </w:rPr>
        <w:t>them.</w:t>
      </w:r>
    </w:p>
    <w:p w:rsidRPr="006A3B68" w:rsidR="006A3B68" w:rsidP="00260400" w:rsidRDefault="00497D1E" w14:paraId="18849E26" w14:textId="6891199B">
      <w:pPr>
        <w:jc w:val="both"/>
        <w:rPr>
          <w:rFonts w:ascii="Cambria" w:hAnsi="Cambria"/>
          <w:sz w:val="22"/>
          <w:szCs w:val="22"/>
        </w:rPr>
      </w:pPr>
      <w:r w:rsidRPr="280A48BF" w:rsidR="00497D1E">
        <w:rPr>
          <w:rFonts w:ascii="Cambria" w:hAnsi="Cambria"/>
          <w:sz w:val="22"/>
          <w:szCs w:val="22"/>
        </w:rPr>
        <w:t>Current policy settings for</w:t>
      </w:r>
      <w:r w:rsidRPr="280A48BF" w:rsidR="006A3B68">
        <w:rPr>
          <w:rFonts w:ascii="Cambria" w:hAnsi="Cambria"/>
          <w:sz w:val="22"/>
          <w:szCs w:val="22"/>
        </w:rPr>
        <w:t xml:space="preserve"> Australian Carbon Credit</w:t>
      </w:r>
      <w:r w:rsidRPr="280A48BF" w:rsidR="00497D1E">
        <w:rPr>
          <w:rFonts w:ascii="Cambria" w:hAnsi="Cambria"/>
          <w:sz w:val="22"/>
          <w:szCs w:val="22"/>
        </w:rPr>
        <w:t xml:space="preserve"> </w:t>
      </w:r>
      <w:r w:rsidRPr="280A48BF" w:rsidR="006A3B68">
        <w:rPr>
          <w:rFonts w:ascii="Cambria" w:hAnsi="Cambria"/>
          <w:sz w:val="22"/>
          <w:szCs w:val="22"/>
        </w:rPr>
        <w:t>Units (ACCU</w:t>
      </w:r>
      <w:r w:rsidRPr="280A48BF" w:rsidR="00497D1E">
        <w:rPr>
          <w:rFonts w:ascii="Cambria" w:hAnsi="Cambria"/>
          <w:sz w:val="22"/>
          <w:szCs w:val="22"/>
        </w:rPr>
        <w:t>s</w:t>
      </w:r>
      <w:r w:rsidRPr="280A48BF" w:rsidR="006A3B68">
        <w:rPr>
          <w:rFonts w:ascii="Cambria" w:hAnsi="Cambria"/>
          <w:sz w:val="22"/>
          <w:szCs w:val="22"/>
        </w:rPr>
        <w:t xml:space="preserve">) provide a </w:t>
      </w:r>
      <w:r w:rsidRPr="280A48BF" w:rsidR="00497D1E">
        <w:rPr>
          <w:rFonts w:ascii="Cambria" w:hAnsi="Cambria"/>
          <w:sz w:val="22"/>
          <w:szCs w:val="22"/>
        </w:rPr>
        <w:t>robust</w:t>
      </w:r>
      <w:r w:rsidRPr="280A48BF" w:rsidR="006A3B68">
        <w:rPr>
          <w:rFonts w:ascii="Cambria" w:hAnsi="Cambria"/>
          <w:sz w:val="22"/>
          <w:szCs w:val="22"/>
        </w:rPr>
        <w:t xml:space="preserve"> foundation</w:t>
      </w:r>
      <w:r w:rsidRPr="280A48BF" w:rsidR="006A3B68">
        <w:rPr>
          <w:rFonts w:ascii="Cambria" w:hAnsi="Cambria"/>
          <w:sz w:val="22"/>
          <w:szCs w:val="22"/>
        </w:rPr>
        <w:t xml:space="preserve"> </w:t>
      </w:r>
      <w:r w:rsidRPr="280A48BF" w:rsidR="00497D1E">
        <w:rPr>
          <w:rFonts w:ascii="Cambria" w:hAnsi="Cambria"/>
          <w:sz w:val="22"/>
          <w:szCs w:val="22"/>
        </w:rPr>
        <w:t xml:space="preserve">and </w:t>
      </w:r>
      <w:r w:rsidRPr="280A48BF" w:rsidR="09393903">
        <w:rPr>
          <w:rFonts w:ascii="Cambria" w:hAnsi="Cambria"/>
          <w:sz w:val="22"/>
          <w:szCs w:val="22"/>
        </w:rPr>
        <w:t>are</w:t>
      </w:r>
      <w:r w:rsidRPr="280A48BF" w:rsidR="00497D1E">
        <w:rPr>
          <w:rFonts w:ascii="Cambria" w:hAnsi="Cambria"/>
          <w:sz w:val="22"/>
          <w:szCs w:val="22"/>
        </w:rPr>
        <w:t xml:space="preserve"> attracting heavy industry and mining</w:t>
      </w:r>
      <w:r w:rsidRPr="280A48BF" w:rsidR="006A3B68">
        <w:rPr>
          <w:rFonts w:ascii="Cambria" w:hAnsi="Cambria"/>
          <w:sz w:val="22"/>
          <w:szCs w:val="22"/>
        </w:rPr>
        <w:t xml:space="preserve"> under the Safeguard Mechanism (SGM). </w:t>
      </w:r>
      <w:r w:rsidRPr="280A48BF" w:rsidR="006A3B68">
        <w:rPr>
          <w:rFonts w:ascii="Cambria" w:hAnsi="Cambria"/>
          <w:sz w:val="22"/>
          <w:szCs w:val="22"/>
        </w:rPr>
        <w:t>However</w:t>
      </w:r>
      <w:r w:rsidRPr="280A48BF" w:rsidR="006A3B68">
        <w:rPr>
          <w:rFonts w:ascii="Cambria" w:hAnsi="Cambria"/>
          <w:sz w:val="22"/>
          <w:szCs w:val="22"/>
        </w:rPr>
        <w:t xml:space="preserve">, </w:t>
      </w:r>
      <w:r w:rsidRPr="280A48BF" w:rsidR="00497D1E">
        <w:rPr>
          <w:rFonts w:ascii="Cambria" w:hAnsi="Cambria"/>
          <w:sz w:val="22"/>
          <w:szCs w:val="22"/>
        </w:rPr>
        <w:t xml:space="preserve">challenges </w:t>
      </w:r>
      <w:r w:rsidRPr="280A48BF" w:rsidR="006A3B68">
        <w:rPr>
          <w:rFonts w:ascii="Cambria" w:hAnsi="Cambria"/>
          <w:sz w:val="22"/>
          <w:szCs w:val="22"/>
        </w:rPr>
        <w:t xml:space="preserve">outlined in </w:t>
      </w:r>
      <w:r w:rsidRPr="280A48BF" w:rsidR="00431AD4">
        <w:rPr>
          <w:rFonts w:ascii="Cambria" w:hAnsi="Cambria"/>
          <w:sz w:val="22"/>
          <w:szCs w:val="22"/>
        </w:rPr>
        <w:t>the EY Net Zero Centre</w:t>
      </w:r>
      <w:r w:rsidRPr="280A48BF" w:rsidR="006A3B68">
        <w:rPr>
          <w:rFonts w:ascii="Cambria" w:hAnsi="Cambria"/>
          <w:sz w:val="22"/>
          <w:szCs w:val="22"/>
        </w:rPr>
        <w:t xml:space="preserve"> report include:</w:t>
      </w:r>
    </w:p>
    <w:p w:rsidRPr="006A3B68" w:rsidR="006A3B68" w:rsidP="2825BF31" w:rsidRDefault="00317502" w14:paraId="264601B3" w14:textId="5B9BB167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2825BF31" w:rsidR="006A3B68">
        <w:rPr>
          <w:rFonts w:ascii="Cambria" w:hAnsi="Cambria"/>
          <w:b w:val="1"/>
          <w:bCs w:val="1"/>
          <w:sz w:val="22"/>
          <w:szCs w:val="22"/>
        </w:rPr>
        <w:t>Policy uncertainty and boom–bust dynamics</w:t>
      </w:r>
      <w:r w:rsidRPr="2825BF31" w:rsidR="006A3B68">
        <w:rPr>
          <w:rFonts w:ascii="Cambria" w:hAnsi="Cambria"/>
          <w:sz w:val="22"/>
          <w:szCs w:val="22"/>
        </w:rPr>
        <w:t xml:space="preserve">, which </w:t>
      </w:r>
      <w:r w:rsidRPr="2825BF31" w:rsidR="00497D1E">
        <w:rPr>
          <w:rFonts w:ascii="Cambria" w:hAnsi="Cambria"/>
          <w:sz w:val="22"/>
          <w:szCs w:val="22"/>
        </w:rPr>
        <w:t xml:space="preserve">weaken incentives and </w:t>
      </w:r>
      <w:r w:rsidRPr="2825BF31" w:rsidR="006A3B68">
        <w:rPr>
          <w:rFonts w:ascii="Cambria" w:hAnsi="Cambria"/>
          <w:sz w:val="22"/>
          <w:szCs w:val="22"/>
        </w:rPr>
        <w:t xml:space="preserve">discourage </w:t>
      </w:r>
      <w:r w:rsidRPr="2825BF31" w:rsidR="00497D1E">
        <w:rPr>
          <w:rFonts w:ascii="Cambria" w:hAnsi="Cambria"/>
          <w:sz w:val="22"/>
          <w:szCs w:val="22"/>
        </w:rPr>
        <w:t xml:space="preserve">ACCU </w:t>
      </w:r>
      <w:r w:rsidRPr="2825BF31" w:rsidR="006A3B68">
        <w:rPr>
          <w:rFonts w:ascii="Cambria" w:hAnsi="Cambria"/>
          <w:sz w:val="22"/>
          <w:szCs w:val="22"/>
        </w:rPr>
        <w:t>supply expansion</w:t>
      </w:r>
    </w:p>
    <w:p w:rsidRPr="006A3B68" w:rsidR="006A3B68" w:rsidP="2825BF31" w:rsidRDefault="00317502" w14:paraId="34878AB3" w14:textId="4C5D9B21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2825BF31" w:rsidR="006A3B68">
        <w:rPr>
          <w:rFonts w:ascii="Cambria" w:hAnsi="Cambria"/>
          <w:b w:val="1"/>
          <w:bCs w:val="1"/>
          <w:sz w:val="22"/>
          <w:szCs w:val="22"/>
        </w:rPr>
        <w:t>Barriers to credit use outside the SGM</w:t>
      </w:r>
      <w:r w:rsidRPr="2825BF31" w:rsidR="006A3B68">
        <w:rPr>
          <w:rFonts w:ascii="Cambria" w:hAnsi="Cambria"/>
          <w:sz w:val="22"/>
          <w:szCs w:val="22"/>
        </w:rPr>
        <w:t>,</w:t>
      </w:r>
      <w:r w:rsidRPr="2825BF31" w:rsidR="00497D1E">
        <w:rPr>
          <w:rFonts w:ascii="Cambria" w:hAnsi="Cambria"/>
          <w:sz w:val="22"/>
          <w:szCs w:val="22"/>
        </w:rPr>
        <w:t xml:space="preserve"> despite</w:t>
      </w:r>
      <w:r w:rsidRPr="2825BF31" w:rsidR="00440FAD">
        <w:rPr>
          <w:rFonts w:ascii="Cambria" w:hAnsi="Cambria"/>
          <w:sz w:val="22"/>
          <w:szCs w:val="22"/>
        </w:rPr>
        <w:t xml:space="preserve"> SGM facilities projected</w:t>
      </w:r>
      <w:r w:rsidRPr="2825BF31" w:rsidR="00497D1E">
        <w:rPr>
          <w:rFonts w:ascii="Cambria" w:hAnsi="Cambria"/>
          <w:sz w:val="22"/>
          <w:szCs w:val="22"/>
        </w:rPr>
        <w:t xml:space="preserve"> to account for </w:t>
      </w:r>
      <w:r w:rsidRPr="2825BF31" w:rsidR="00440FAD">
        <w:rPr>
          <w:rFonts w:ascii="Cambria" w:hAnsi="Cambria"/>
          <w:sz w:val="22"/>
          <w:szCs w:val="22"/>
        </w:rPr>
        <w:t>only</w:t>
      </w:r>
      <w:r w:rsidRPr="2825BF31" w:rsidR="00497D1E">
        <w:rPr>
          <w:rFonts w:ascii="Cambria" w:hAnsi="Cambria"/>
          <w:sz w:val="22"/>
          <w:szCs w:val="22"/>
        </w:rPr>
        <w:t xml:space="preserve"> 50% of </w:t>
      </w:r>
      <w:r w:rsidRPr="2825BF31" w:rsidR="00D67837">
        <w:rPr>
          <w:rFonts w:ascii="Cambria" w:hAnsi="Cambria"/>
          <w:sz w:val="22"/>
          <w:szCs w:val="22"/>
        </w:rPr>
        <w:t xml:space="preserve">the </w:t>
      </w:r>
      <w:r w:rsidRPr="2825BF31" w:rsidR="00497D1E">
        <w:rPr>
          <w:rFonts w:ascii="Cambria" w:hAnsi="Cambria"/>
          <w:sz w:val="22"/>
          <w:szCs w:val="22"/>
        </w:rPr>
        <w:t>Australian offset</w:t>
      </w:r>
      <w:r w:rsidRPr="2825BF31" w:rsidR="00D67837">
        <w:rPr>
          <w:rFonts w:ascii="Cambria" w:hAnsi="Cambria"/>
          <w:sz w:val="22"/>
          <w:szCs w:val="22"/>
        </w:rPr>
        <w:t xml:space="preserve">s </w:t>
      </w:r>
      <w:r w:rsidRPr="2825BF31" w:rsidR="00D67837">
        <w:rPr>
          <w:rFonts w:ascii="Cambria" w:hAnsi="Cambria"/>
          <w:sz w:val="22"/>
          <w:szCs w:val="22"/>
        </w:rPr>
        <w:t>required</w:t>
      </w:r>
      <w:r w:rsidRPr="2825BF31" w:rsidR="00D67837">
        <w:rPr>
          <w:rFonts w:ascii="Cambria" w:hAnsi="Cambria"/>
          <w:sz w:val="22"/>
          <w:szCs w:val="22"/>
        </w:rPr>
        <w:t xml:space="preserve"> </w:t>
      </w:r>
      <w:r w:rsidRPr="2825BF31" w:rsidR="37542E04">
        <w:rPr>
          <w:rFonts w:ascii="Cambria" w:hAnsi="Cambria"/>
          <w:sz w:val="22"/>
          <w:szCs w:val="22"/>
        </w:rPr>
        <w:t xml:space="preserve">from 2030 </w:t>
      </w:r>
      <w:r w:rsidRPr="2825BF31" w:rsidR="00D67837">
        <w:rPr>
          <w:rFonts w:ascii="Cambria" w:hAnsi="Cambria"/>
          <w:sz w:val="22"/>
          <w:szCs w:val="22"/>
        </w:rPr>
        <w:t xml:space="preserve">to 2050 </w:t>
      </w:r>
    </w:p>
    <w:p w:rsidRPr="006A3B68" w:rsidR="006A3B68" w:rsidP="2825BF31" w:rsidRDefault="00317502" w14:paraId="4B976D5A" w14:textId="63DF9B67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280A48BF" w:rsidR="006A3B68">
        <w:rPr>
          <w:rFonts w:ascii="Cambria" w:hAnsi="Cambria"/>
          <w:b w:val="1"/>
          <w:bCs w:val="1"/>
          <w:sz w:val="22"/>
          <w:szCs w:val="22"/>
        </w:rPr>
        <w:t>Limited alignment with nature repair goals</w:t>
      </w:r>
      <w:r w:rsidRPr="280A48BF" w:rsidR="006A3B68">
        <w:rPr>
          <w:rFonts w:ascii="Cambria" w:hAnsi="Cambria"/>
          <w:sz w:val="22"/>
          <w:szCs w:val="22"/>
        </w:rPr>
        <w:t xml:space="preserve">, meaning </w:t>
      </w:r>
      <w:r w:rsidRPr="280A48BF" w:rsidR="00497D1E">
        <w:rPr>
          <w:rFonts w:ascii="Cambria" w:hAnsi="Cambria"/>
          <w:sz w:val="22"/>
          <w:szCs w:val="22"/>
        </w:rPr>
        <w:t>land</w:t>
      </w:r>
      <w:r w:rsidRPr="280A48BF" w:rsidR="449244A5">
        <w:rPr>
          <w:rFonts w:ascii="Cambria" w:hAnsi="Cambria"/>
          <w:sz w:val="22"/>
          <w:szCs w:val="22"/>
        </w:rPr>
        <w:t>-</w:t>
      </w:r>
      <w:r w:rsidRPr="280A48BF" w:rsidR="00497D1E">
        <w:rPr>
          <w:rFonts w:ascii="Cambria" w:hAnsi="Cambria"/>
          <w:sz w:val="22"/>
          <w:szCs w:val="22"/>
        </w:rPr>
        <w:t xml:space="preserve">sector </w:t>
      </w:r>
      <w:r w:rsidRPr="280A48BF" w:rsidR="00497D1E">
        <w:rPr>
          <w:rFonts w:ascii="Cambria" w:hAnsi="Cambria"/>
          <w:sz w:val="22"/>
          <w:szCs w:val="22"/>
        </w:rPr>
        <w:t xml:space="preserve">plantings provide carbon sequestration but miss </w:t>
      </w:r>
      <w:r w:rsidRPr="280A48BF" w:rsidR="006A3B68">
        <w:rPr>
          <w:rFonts w:ascii="Cambria" w:hAnsi="Cambria"/>
          <w:sz w:val="22"/>
          <w:szCs w:val="22"/>
        </w:rPr>
        <w:t xml:space="preserve">opportunities to stack </w:t>
      </w:r>
      <w:r w:rsidRPr="280A48BF" w:rsidR="00D67837">
        <w:rPr>
          <w:rFonts w:ascii="Cambria" w:hAnsi="Cambria"/>
          <w:sz w:val="22"/>
          <w:szCs w:val="22"/>
        </w:rPr>
        <w:t xml:space="preserve">wider </w:t>
      </w:r>
      <w:r w:rsidRPr="280A48BF" w:rsidR="006A3B68">
        <w:rPr>
          <w:rFonts w:ascii="Cambria" w:hAnsi="Cambria"/>
          <w:sz w:val="22"/>
          <w:szCs w:val="22"/>
        </w:rPr>
        <w:t xml:space="preserve">benefits </w:t>
      </w:r>
    </w:p>
    <w:p w:rsidRPr="006A3B68" w:rsidR="006A3B68" w:rsidP="2825BF31" w:rsidRDefault="00317502" w14:paraId="0921106A" w14:textId="2656EEA5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2825BF31" w:rsidR="00317502">
        <w:rPr>
          <w:rFonts w:ascii="Cambria" w:hAnsi="Cambria"/>
          <w:b w:val="1"/>
          <w:bCs w:val="1"/>
          <w:sz w:val="22"/>
          <w:szCs w:val="22"/>
        </w:rPr>
        <w:t xml:space="preserve">Stakeholder hesitation about </w:t>
      </w:r>
      <w:r w:rsidRPr="2825BF31" w:rsidR="006A3B68">
        <w:rPr>
          <w:rFonts w:ascii="Cambria" w:hAnsi="Cambria"/>
          <w:b w:val="1"/>
          <w:bCs w:val="1"/>
          <w:sz w:val="22"/>
          <w:szCs w:val="22"/>
        </w:rPr>
        <w:t>large-scale land use change</w:t>
      </w:r>
      <w:r w:rsidRPr="2825BF31" w:rsidR="006A3B68">
        <w:rPr>
          <w:rFonts w:ascii="Cambria" w:hAnsi="Cambria"/>
          <w:sz w:val="22"/>
          <w:szCs w:val="22"/>
        </w:rPr>
        <w:t xml:space="preserve">, especially where </w:t>
      </w:r>
      <w:r w:rsidRPr="2825BF31" w:rsidR="00BC2B27">
        <w:rPr>
          <w:rFonts w:ascii="Cambria" w:hAnsi="Cambria"/>
          <w:sz w:val="22"/>
          <w:szCs w:val="22"/>
        </w:rPr>
        <w:t xml:space="preserve">the </w:t>
      </w:r>
      <w:r w:rsidRPr="2825BF31" w:rsidR="006A3B68">
        <w:rPr>
          <w:rFonts w:ascii="Cambria" w:hAnsi="Cambria"/>
          <w:sz w:val="22"/>
          <w:szCs w:val="22"/>
        </w:rPr>
        <w:t>economic or social value is unclear</w:t>
      </w:r>
    </w:p>
    <w:p w:rsidR="00497D1E" w:rsidP="00431AD4" w:rsidRDefault="006A3B68" w14:paraId="1545D5E2" w14:textId="7624D2DC">
      <w:pPr>
        <w:jc w:val="both"/>
        <w:rPr>
          <w:rFonts w:ascii="Cambria" w:hAnsi="Cambria"/>
          <w:sz w:val="22"/>
          <w:szCs w:val="22"/>
        </w:rPr>
      </w:pPr>
      <w:r w:rsidRPr="006A3B68">
        <w:rPr>
          <w:rFonts w:ascii="Cambria" w:hAnsi="Cambria"/>
          <w:sz w:val="22"/>
          <w:szCs w:val="22"/>
        </w:rPr>
        <w:t xml:space="preserve">The risk? Australia </w:t>
      </w:r>
      <w:r w:rsidR="00497D1E">
        <w:rPr>
          <w:rFonts w:ascii="Cambria" w:hAnsi="Cambria"/>
          <w:sz w:val="22"/>
          <w:szCs w:val="22"/>
        </w:rPr>
        <w:t>will struggle to achieve net zero emissions without relying on</w:t>
      </w:r>
      <w:r w:rsidRPr="006A3B68">
        <w:rPr>
          <w:rFonts w:ascii="Cambria" w:hAnsi="Cambria"/>
          <w:sz w:val="22"/>
          <w:szCs w:val="22"/>
        </w:rPr>
        <w:t xml:space="preserve"> imported carbon credits, missing out on billions in national income and </w:t>
      </w:r>
      <w:r w:rsidR="003377DC">
        <w:rPr>
          <w:rFonts w:ascii="Cambria" w:hAnsi="Cambria"/>
          <w:sz w:val="22"/>
          <w:szCs w:val="22"/>
        </w:rPr>
        <w:t xml:space="preserve">risking </w:t>
      </w:r>
      <w:r w:rsidRPr="006A3B68">
        <w:rPr>
          <w:rFonts w:ascii="Cambria" w:hAnsi="Cambria"/>
          <w:sz w:val="22"/>
          <w:szCs w:val="22"/>
        </w:rPr>
        <w:t xml:space="preserve">undermining public </w:t>
      </w:r>
      <w:r w:rsidR="003377DC">
        <w:rPr>
          <w:rFonts w:ascii="Cambria" w:hAnsi="Cambria"/>
          <w:sz w:val="22"/>
          <w:szCs w:val="22"/>
        </w:rPr>
        <w:t>confidence</w:t>
      </w:r>
      <w:r w:rsidRPr="006A3B68">
        <w:rPr>
          <w:rFonts w:ascii="Cambria" w:hAnsi="Cambria"/>
          <w:sz w:val="22"/>
          <w:szCs w:val="22"/>
        </w:rPr>
        <w:t xml:space="preserve">. </w:t>
      </w:r>
    </w:p>
    <w:p w:rsidR="00440FAD" w:rsidP="00431AD4" w:rsidRDefault="006A3B68" w14:paraId="066D2436" w14:textId="74B943C7">
      <w:pPr>
        <w:jc w:val="both"/>
        <w:rPr>
          <w:rFonts w:ascii="Cambria" w:hAnsi="Cambria"/>
          <w:sz w:val="22"/>
          <w:szCs w:val="22"/>
        </w:rPr>
      </w:pPr>
      <w:r w:rsidRPr="0ABFEC7E">
        <w:rPr>
          <w:rFonts w:ascii="Cambria" w:hAnsi="Cambria"/>
          <w:sz w:val="22"/>
          <w:szCs w:val="22"/>
        </w:rPr>
        <w:t>The way forward? An integrated approach, backed by policy reform that</w:t>
      </w:r>
      <w:r w:rsidRPr="0ABFEC7E" w:rsidR="00260400">
        <w:rPr>
          <w:rFonts w:ascii="Cambria" w:hAnsi="Cambria"/>
          <w:sz w:val="22"/>
          <w:szCs w:val="22"/>
        </w:rPr>
        <w:t xml:space="preserve"> e</w:t>
      </w:r>
      <w:r w:rsidRPr="0ABFEC7E">
        <w:rPr>
          <w:rFonts w:ascii="Cambria" w:hAnsi="Cambria"/>
          <w:sz w:val="22"/>
          <w:szCs w:val="22"/>
        </w:rPr>
        <w:t>nables credit use across more sectors</w:t>
      </w:r>
      <w:r w:rsidRPr="0ABFEC7E" w:rsidR="003377DC">
        <w:rPr>
          <w:rFonts w:ascii="Cambria" w:hAnsi="Cambria"/>
          <w:sz w:val="22"/>
          <w:szCs w:val="22"/>
        </w:rPr>
        <w:t>, enhances investor confidence through greater clarity and opportunities</w:t>
      </w:r>
      <w:r w:rsidRPr="0ABFEC7E" w:rsidR="00260400">
        <w:rPr>
          <w:rFonts w:ascii="Cambria" w:hAnsi="Cambria"/>
          <w:sz w:val="22"/>
          <w:szCs w:val="22"/>
        </w:rPr>
        <w:t xml:space="preserve">, </w:t>
      </w:r>
      <w:r w:rsidRPr="0ABFEC7E" w:rsidR="003377DC">
        <w:rPr>
          <w:rFonts w:ascii="Cambria" w:hAnsi="Cambria"/>
          <w:sz w:val="22"/>
          <w:szCs w:val="22"/>
        </w:rPr>
        <w:t xml:space="preserve">explores the merits of managed exports, and </w:t>
      </w:r>
      <w:r w:rsidRPr="0ABFEC7E" w:rsidR="00260400">
        <w:rPr>
          <w:rFonts w:ascii="Cambria" w:hAnsi="Cambria"/>
          <w:sz w:val="22"/>
          <w:szCs w:val="22"/>
        </w:rPr>
        <w:t>e</w:t>
      </w:r>
      <w:r w:rsidRPr="0ABFEC7E">
        <w:rPr>
          <w:rFonts w:ascii="Cambria" w:hAnsi="Cambria"/>
          <w:sz w:val="22"/>
          <w:szCs w:val="22"/>
        </w:rPr>
        <w:t>volves credit rules to include nature repair and regeneration</w:t>
      </w:r>
      <w:r w:rsidRPr="0ABFEC7E" w:rsidR="00440FAD">
        <w:rPr>
          <w:rFonts w:ascii="Cambria" w:hAnsi="Cambria"/>
          <w:sz w:val="22"/>
          <w:szCs w:val="22"/>
        </w:rPr>
        <w:t>.</w:t>
      </w:r>
    </w:p>
    <w:p w:rsidRPr="006A3B68" w:rsidR="00440FAD" w:rsidP="000779C9" w:rsidRDefault="00440FAD" w14:paraId="4DA5EB69" w14:textId="7D2BDF42">
      <w:pPr>
        <w:jc w:val="both"/>
        <w:rPr>
          <w:rFonts w:ascii="Cambria" w:hAnsi="Cambria"/>
          <w:sz w:val="22"/>
          <w:szCs w:val="22"/>
        </w:rPr>
      </w:pPr>
      <w:r w:rsidRPr="00440FAD">
        <w:rPr>
          <w:rFonts w:ascii="Cambria" w:hAnsi="Cambria"/>
          <w:sz w:val="22"/>
          <w:szCs w:val="22"/>
        </w:rPr>
        <w:t>Done right, Australia can grow both the value and volume of carbon credits</w:t>
      </w:r>
      <w:r w:rsidR="00431AD4">
        <w:rPr>
          <w:rFonts w:ascii="Cambria" w:hAnsi="Cambria"/>
          <w:sz w:val="22"/>
          <w:szCs w:val="22"/>
        </w:rPr>
        <w:t xml:space="preserve">, </w:t>
      </w:r>
      <w:r w:rsidRPr="00440FAD">
        <w:rPr>
          <w:rFonts w:ascii="Cambria" w:hAnsi="Cambria"/>
          <w:sz w:val="22"/>
          <w:szCs w:val="22"/>
        </w:rPr>
        <w:t xml:space="preserve">reinforcing integrity </w:t>
      </w:r>
      <w:r w:rsidR="003377DC">
        <w:rPr>
          <w:rFonts w:ascii="Cambria" w:hAnsi="Cambria"/>
          <w:sz w:val="22"/>
          <w:szCs w:val="22"/>
        </w:rPr>
        <w:t xml:space="preserve">and delivering wider benefits, </w:t>
      </w:r>
      <w:r w:rsidRPr="00440FAD">
        <w:rPr>
          <w:rFonts w:ascii="Cambria" w:hAnsi="Cambria"/>
          <w:sz w:val="22"/>
          <w:szCs w:val="22"/>
        </w:rPr>
        <w:t>while positioning the nation as a global leader in high-quality carbon supply.</w:t>
      </w:r>
      <w:r w:rsidR="00431AD4">
        <w:rPr>
          <w:rFonts w:ascii="Cambria" w:hAnsi="Cambria"/>
          <w:sz w:val="22"/>
          <w:szCs w:val="22"/>
        </w:rPr>
        <w:t xml:space="preserve"> There’s no time to waste.</w:t>
      </w:r>
    </w:p>
    <w:sectPr w:rsidRPr="006A3B68" w:rsidR="00440FAD" w:rsidSect="006D63B5">
      <w:pgSz w:w="11906" w:h="16838" w:orient="portrait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d1d0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C67943"/>
    <w:multiLevelType w:val="hybridMultilevel"/>
    <w:tmpl w:val="C11E15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9E6D4B"/>
    <w:multiLevelType w:val="multilevel"/>
    <w:tmpl w:val="58D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6D27171"/>
    <w:multiLevelType w:val="hybridMultilevel"/>
    <w:tmpl w:val="8CB2027A"/>
    <w:lvl w:ilvl="0" w:tplc="0C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" w15:restartNumberingAfterBreak="0">
    <w:nsid w:val="625C3EA4"/>
    <w:multiLevelType w:val="multilevel"/>
    <w:tmpl w:val="B37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5">
    <w:abstractNumId w:val="4"/>
  </w:num>
  <w:num w:numId="1" w16cid:durableId="1338801002">
    <w:abstractNumId w:val="1"/>
  </w:num>
  <w:num w:numId="2" w16cid:durableId="2047216714">
    <w:abstractNumId w:val="3"/>
  </w:num>
  <w:num w:numId="3" w16cid:durableId="1382824586">
    <w:abstractNumId w:val="0"/>
  </w:num>
  <w:num w:numId="4" w16cid:durableId="209573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68"/>
    <w:rsid w:val="000779C9"/>
    <w:rsid w:val="0012290E"/>
    <w:rsid w:val="0015252A"/>
    <w:rsid w:val="0019138D"/>
    <w:rsid w:val="001F5733"/>
    <w:rsid w:val="00260400"/>
    <w:rsid w:val="002678DF"/>
    <w:rsid w:val="00317502"/>
    <w:rsid w:val="003377DC"/>
    <w:rsid w:val="003A4C93"/>
    <w:rsid w:val="00431AD4"/>
    <w:rsid w:val="00440FAD"/>
    <w:rsid w:val="004648E9"/>
    <w:rsid w:val="00497D1E"/>
    <w:rsid w:val="00607A1A"/>
    <w:rsid w:val="006427A4"/>
    <w:rsid w:val="00672A8E"/>
    <w:rsid w:val="006A3B68"/>
    <w:rsid w:val="006D63B5"/>
    <w:rsid w:val="00A8707B"/>
    <w:rsid w:val="00B46B29"/>
    <w:rsid w:val="00B568A3"/>
    <w:rsid w:val="00BC2B27"/>
    <w:rsid w:val="00BD4EFD"/>
    <w:rsid w:val="00D45104"/>
    <w:rsid w:val="00D67837"/>
    <w:rsid w:val="00DA4B40"/>
    <w:rsid w:val="00E9137A"/>
    <w:rsid w:val="00F6698A"/>
    <w:rsid w:val="09393903"/>
    <w:rsid w:val="0ABFEC7E"/>
    <w:rsid w:val="0F7BFE8B"/>
    <w:rsid w:val="1158A43D"/>
    <w:rsid w:val="18548F74"/>
    <w:rsid w:val="1A513030"/>
    <w:rsid w:val="1A74DD96"/>
    <w:rsid w:val="2023F4AC"/>
    <w:rsid w:val="23C5DEA3"/>
    <w:rsid w:val="280A48BF"/>
    <w:rsid w:val="2825BF31"/>
    <w:rsid w:val="2967C3EF"/>
    <w:rsid w:val="2BEFB955"/>
    <w:rsid w:val="2E28ABF3"/>
    <w:rsid w:val="30EBAFA2"/>
    <w:rsid w:val="37542E04"/>
    <w:rsid w:val="39CB0DDA"/>
    <w:rsid w:val="3A850FAD"/>
    <w:rsid w:val="3F653CE6"/>
    <w:rsid w:val="449244A5"/>
    <w:rsid w:val="4B2D1765"/>
    <w:rsid w:val="4BCF9A77"/>
    <w:rsid w:val="54C6830D"/>
    <w:rsid w:val="7AF48C97"/>
    <w:rsid w:val="7DF1C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B38F"/>
  <w15:chartTrackingRefBased/>
  <w15:docId w15:val="{09F025DA-101A-4169-8881-05EB8126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0400"/>
  </w:style>
  <w:style w:type="paragraph" w:styleId="Heading1">
    <w:name w:val="heading 1"/>
    <w:basedOn w:val="Normal"/>
    <w:next w:val="Normal"/>
    <w:link w:val="Heading1Char"/>
    <w:uiPriority w:val="9"/>
    <w:qFormat/>
    <w:rsid w:val="006A3B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B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3B6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3B6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A3B6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3B6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A3B6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A3B6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A3B6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A3B6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A3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B6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A3B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B6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A3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B6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3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B6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97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D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7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D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7D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7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lcf76f155ced4ddcb4097134ff3c332f xmlns="f9e45c49-9523-4e8f-a2e3-c3cd657534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84F0E7AC0C4895D70A92ECD2D230" ma:contentTypeVersion="19" ma:contentTypeDescription="Create a new document." ma:contentTypeScope="" ma:versionID="e9c5db54ccc8f836e3fbf1243bea7214">
  <xsd:schema xmlns:xsd="http://www.w3.org/2001/XMLSchema" xmlns:xs="http://www.w3.org/2001/XMLSchema" xmlns:p="http://schemas.microsoft.com/office/2006/metadata/properties" xmlns:ns2="f9e45c49-9523-4e8f-a2e3-c3cd657534d1" xmlns:ns3="da79f6c8-865e-4a55-9f93-fe33afdc7c56" xmlns:ns4="50c908b1-f277-4340-90a9-4611d0b0f078" targetNamespace="http://schemas.microsoft.com/office/2006/metadata/properties" ma:root="true" ma:fieldsID="c47787761be40ee10628059b3a1ba0a6" ns2:_="" ns3:_="" ns4:_="">
    <xsd:import namespace="f9e45c49-9523-4e8f-a2e3-c3cd657534d1"/>
    <xsd:import namespace="da79f6c8-865e-4a55-9f93-fe33afdc7c56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45c49-9523-4e8f-a2e3-c3cd65753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9f6c8-865e-4a55-9f93-fe33afdc7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241db9-6525-428c-b00e-32b192644b29}" ma:internalName="TaxCatchAll" ma:showField="CatchAllData" ma:web="da79f6c8-865e-4a55-9f93-fe33afdc7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0E56-A913-4C8A-A0B8-16BC5327FFD4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7ec155b-648d-4db2-8400-b95609a797e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E3E694-F5F8-48C3-AFE5-C8FD3B96E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F6A09-6B6F-40F4-B6E3-9866860B8283}"/>
</file>

<file path=customXml/itemProps4.xml><?xml version="1.0" encoding="utf-8"?>
<ds:datastoreItem xmlns:ds="http://schemas.openxmlformats.org/officeDocument/2006/customXml" ds:itemID="{631D04B0-FE01-480B-94C0-DF8B6A50A2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Jamal</dc:creator>
  <keywords/>
  <dc:description/>
  <lastModifiedBy>Bronte N Gray</lastModifiedBy>
  <revision>8</revision>
  <dcterms:created xsi:type="dcterms:W3CDTF">2025-07-27T23:23:00.0000000Z</dcterms:created>
  <dcterms:modified xsi:type="dcterms:W3CDTF">2025-08-01T00:24:50.5923014Z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0x0101007B9684F0E7AC0C4895D70A92ECD2D230</vt:lpwstr>
  </property>
  <property fmtid="{D5CDD505-2E9C-101B-9397-08002B2CF9AE}" pid="3" name="MediaServiceImageTags">
    <vt:lpwstr/>
  </property>
</Properties>
</file>